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49" w:rsidRPr="000B12D2" w:rsidRDefault="009F4849" w:rsidP="000B12D2">
      <w:pPr>
        <w:jc w:val="center"/>
        <w:rPr>
          <w:b/>
        </w:rPr>
      </w:pPr>
      <w:r w:rsidRPr="000B12D2">
        <w:rPr>
          <w:b/>
        </w:rPr>
        <w:t>Декларация за достъпност</w:t>
      </w:r>
    </w:p>
    <w:p w:rsidR="009F4849" w:rsidRPr="009F4849" w:rsidRDefault="009F4849" w:rsidP="009F4849">
      <w:r w:rsidRPr="009F4849">
        <w:t> </w:t>
      </w:r>
    </w:p>
    <w:p w:rsidR="009F4849" w:rsidRPr="009F4849" w:rsidRDefault="009F4849" w:rsidP="009F4849">
      <w:r w:rsidRPr="009F4849">
        <w:t>Раздел 1 - Задължително съдържание </w:t>
      </w:r>
    </w:p>
    <w:p w:rsidR="009F4849" w:rsidRPr="009F4849" w:rsidRDefault="000B12D2" w:rsidP="009B6343">
      <w:pPr>
        <w:jc w:val="both"/>
      </w:pPr>
      <w:r>
        <w:t>Министерство на електронното управление</w:t>
      </w:r>
      <w:r w:rsidR="009F4849" w:rsidRPr="009F4849">
        <w:t xml:space="preserve"> (</w:t>
      </w:r>
      <w:r>
        <w:t>МЕУ</w:t>
      </w:r>
      <w:r w:rsidR="009F4849" w:rsidRPr="009F4849">
        <w:t xml:space="preserve">) осигурява достъп до </w:t>
      </w:r>
      <w:r>
        <w:t xml:space="preserve">портала </w:t>
      </w:r>
      <w:r w:rsidR="009F4849" w:rsidRPr="009F4849">
        <w:t xml:space="preserve"> </w:t>
      </w:r>
      <w:r>
        <w:rPr>
          <w:lang w:val="en-US"/>
        </w:rPr>
        <w:t xml:space="preserve">egov.bg </w:t>
      </w:r>
      <w:r w:rsidR="009F4849" w:rsidRPr="009F4849">
        <w:t>в съответствие с чл. 58в от Закон за електронното управление и чл. 39 и 39а от Наредба за общите изисквания към информационните системи, регистрите и електронните административни услуги.</w:t>
      </w:r>
    </w:p>
    <w:p w:rsidR="009F4849" w:rsidRPr="003921A6" w:rsidRDefault="009F4849" w:rsidP="000B12D2">
      <w:pPr>
        <w:jc w:val="both"/>
        <w:rPr>
          <w:lang w:val="en-US"/>
        </w:rPr>
      </w:pPr>
      <w:r w:rsidRPr="009F4849">
        <w:rPr>
          <w:b/>
          <w:bCs/>
        </w:rPr>
        <w:t>Настоящата декларация за достъпност се отнася до:</w:t>
      </w:r>
    </w:p>
    <w:p w:rsidR="000B12D2" w:rsidRPr="009F4849" w:rsidRDefault="009F4849" w:rsidP="000B12D2">
      <w:pPr>
        <w:jc w:val="both"/>
      </w:pPr>
      <w:r w:rsidRPr="009F4849">
        <w:t>Уебсайт на адрес: </w:t>
      </w:r>
      <w:r w:rsidR="000B12D2" w:rsidRPr="000B12D2">
        <w:rPr>
          <w:rStyle w:val="Hyperlink"/>
        </w:rPr>
        <w:t>https://egov.bg/wps/portal/egov/nachalo</w:t>
      </w:r>
      <w:r w:rsidRPr="009F4849">
        <w:t xml:space="preserve"> е изграден </w:t>
      </w:r>
      <w:r w:rsidR="000B12D2">
        <w:t xml:space="preserve">Министерството на електронното управление.  </w:t>
      </w:r>
      <w:r w:rsidRPr="009F4849">
        <w:t>Стандарт, който е спазен за осигу</w:t>
      </w:r>
      <w:r w:rsidR="000B12D2">
        <w:t xml:space="preserve">ряване на достъпно съдържание - </w:t>
      </w:r>
      <w:r w:rsidRPr="000B12D2">
        <w:rPr>
          <w:bCs/>
        </w:rPr>
        <w:t>EN 301 549 V2.1.2 (2018-08)</w:t>
      </w:r>
    </w:p>
    <w:p w:rsidR="009F4849" w:rsidRPr="009F4849" w:rsidRDefault="009F4849" w:rsidP="009F4849">
      <w:r w:rsidRPr="009F4849">
        <w:t>I. Статус на съответствие</w:t>
      </w:r>
    </w:p>
    <w:p w:rsidR="009F4849" w:rsidRPr="009F4849" w:rsidRDefault="009F4849" w:rsidP="009F4849">
      <w:r w:rsidRPr="009F4849">
        <w:t>Съдържанието съответства частично на изискванията на посочения стандарт, поради установени несъответствия и изключения посочени по-долу.</w:t>
      </w:r>
    </w:p>
    <w:p w:rsidR="009F4849" w:rsidRPr="009F4849" w:rsidRDefault="009F4849" w:rsidP="009F4849">
      <w:r w:rsidRPr="009F4849">
        <w:t>II. Недостъпно съдържание</w:t>
      </w:r>
    </w:p>
    <w:p w:rsidR="009F4849" w:rsidRPr="009F4849" w:rsidRDefault="009F4849" w:rsidP="009F4849">
      <w:r w:rsidRPr="009F4849">
        <w:t>Несъответствията със стандарта EN 301 549 V2.1.2 (2018-08) на сайта на ДАЕУ са описани по-долу в таблица Приложение 1.</w:t>
      </w:r>
    </w:p>
    <w:p w:rsidR="009F4849" w:rsidRPr="009F4849" w:rsidRDefault="009F4849" w:rsidP="009F4849">
      <w:r w:rsidRPr="009F4849">
        <w:rPr>
          <w:b/>
          <w:bCs/>
        </w:rPr>
        <w:t>ПРИЛОЖЕНИЕ 1</w:t>
      </w:r>
    </w:p>
    <w:tbl>
      <w:tblPr>
        <w:tblW w:w="9348" w:type="dxa"/>
        <w:tblBorders>
          <w:top w:val="outset" w:sz="6" w:space="0" w:color="696969"/>
          <w:left w:val="outset" w:sz="6" w:space="0" w:color="696969"/>
          <w:bottom w:val="outset" w:sz="6" w:space="0" w:color="696969"/>
          <w:right w:val="outset" w:sz="6" w:space="0" w:color="696969"/>
        </w:tblBorders>
        <w:tblCellMar>
          <w:left w:w="0" w:type="dxa"/>
          <w:right w:w="0" w:type="dxa"/>
        </w:tblCellMar>
        <w:tblLook w:val="04A0" w:firstRow="1" w:lastRow="0" w:firstColumn="1" w:lastColumn="0" w:noHBand="0" w:noVBand="1"/>
      </w:tblPr>
      <w:tblGrid>
        <w:gridCol w:w="4387"/>
        <w:gridCol w:w="4961"/>
      </w:tblGrid>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9F4849" w:rsidP="009F4849">
            <w:r w:rsidRPr="009F4849">
              <w:rPr>
                <w:b/>
                <w:bCs/>
              </w:rPr>
              <w:t>Изискване на стандарта </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9F4849" w:rsidP="009F4849">
            <w:r w:rsidRPr="009F4849">
              <w:rPr>
                <w:b/>
                <w:bCs/>
              </w:rPr>
              <w:t>Пояснения</w:t>
            </w:r>
          </w:p>
        </w:tc>
      </w:tr>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t>Алтернативно представяне на записаните аудио материали.</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9F4849" w:rsidRPr="00F32486" w:rsidRDefault="00F32486" w:rsidP="009F4849">
            <w:pPr>
              <w:rPr>
                <w:rFonts w:ascii="Arial" w:hAnsi="Arial" w:cs="Arial"/>
                <w:color w:val="333333"/>
                <w:sz w:val="21"/>
                <w:szCs w:val="21"/>
              </w:rPr>
            </w:pPr>
            <w:r>
              <w:rPr>
                <w:rFonts w:ascii="Arial" w:hAnsi="Arial" w:cs="Arial"/>
                <w:color w:val="333333"/>
                <w:sz w:val="21"/>
                <w:szCs w:val="21"/>
              </w:rPr>
              <w:br/>
              <w:t>Изискване 9.1.2.1. от EN 301 549 V2.1.2 (2018-08)</w:t>
            </w:r>
            <w:r>
              <w:rPr>
                <w:rFonts w:ascii="Arial" w:hAnsi="Arial" w:cs="Arial"/>
                <w:color w:val="333333"/>
                <w:sz w:val="21"/>
                <w:szCs w:val="21"/>
              </w:rPr>
              <w:br/>
            </w:r>
            <w:r>
              <w:rPr>
                <w:rStyle w:val="Strong"/>
                <w:rFonts w:ascii="Arial" w:hAnsi="Arial" w:cs="Arial"/>
                <w:color w:val="333333"/>
                <w:sz w:val="21"/>
                <w:szCs w:val="21"/>
              </w:rPr>
              <w:t>Неприложимо</w:t>
            </w:r>
            <w:r>
              <w:rPr>
                <w:rFonts w:ascii="Arial" w:hAnsi="Arial" w:cs="Arial"/>
                <w:color w:val="333333"/>
                <w:sz w:val="21"/>
                <w:szCs w:val="21"/>
              </w:rPr>
              <w:br/>
              <w:t>Не се публикуват записи на аудио материали</w:t>
            </w:r>
          </w:p>
        </w:tc>
      </w:tr>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t>Аудио представяне на видео съдържанието.</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9F4849" w:rsidRPr="00F32486" w:rsidRDefault="00F32486" w:rsidP="009F4849">
            <w:pPr>
              <w:rPr>
                <w:rFonts w:ascii="Arial" w:hAnsi="Arial" w:cs="Arial"/>
                <w:color w:val="333333"/>
                <w:sz w:val="21"/>
                <w:szCs w:val="21"/>
              </w:rPr>
            </w:pPr>
            <w:r>
              <w:rPr>
                <w:rFonts w:ascii="Arial" w:hAnsi="Arial" w:cs="Arial"/>
                <w:color w:val="333333"/>
                <w:sz w:val="21"/>
                <w:szCs w:val="21"/>
              </w:rPr>
              <w:br/>
              <w:t>Изискване 9.1.2.3. от EN 301 549 V2.1.2 (2018-08)</w:t>
            </w:r>
            <w:r>
              <w:rPr>
                <w:rFonts w:ascii="Arial" w:hAnsi="Arial" w:cs="Arial"/>
                <w:color w:val="333333"/>
                <w:sz w:val="21"/>
                <w:szCs w:val="21"/>
              </w:rPr>
              <w:br/>
            </w:r>
            <w:r>
              <w:rPr>
                <w:rStyle w:val="Strong"/>
                <w:rFonts w:ascii="Arial" w:hAnsi="Arial" w:cs="Arial"/>
                <w:color w:val="333333"/>
                <w:sz w:val="21"/>
                <w:szCs w:val="21"/>
              </w:rPr>
              <w:t>Неприложимо</w:t>
            </w:r>
            <w:r>
              <w:rPr>
                <w:rFonts w:ascii="Arial" w:hAnsi="Arial" w:cs="Arial"/>
                <w:color w:val="333333"/>
                <w:sz w:val="21"/>
                <w:szCs w:val="21"/>
              </w:rPr>
              <w:br/>
              <w:t>Наличните видеоклипове са записи от интервюта, поради което не е необходимо</w:t>
            </w:r>
          </w:p>
        </w:tc>
      </w:tr>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t>Субтитри за аудио и/или видео излъчвания на живо</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F32486" w:rsidRDefault="00F32486" w:rsidP="00F32486">
            <w:pPr>
              <w:rPr>
                <w:rFonts w:ascii="Arial" w:hAnsi="Arial" w:cs="Arial"/>
                <w:color w:val="333333"/>
                <w:sz w:val="21"/>
                <w:szCs w:val="21"/>
              </w:rPr>
            </w:pPr>
            <w:r>
              <w:rPr>
                <w:rFonts w:ascii="Arial" w:hAnsi="Arial" w:cs="Arial"/>
                <w:color w:val="333333"/>
                <w:sz w:val="21"/>
                <w:szCs w:val="21"/>
              </w:rPr>
              <w:br/>
              <w:t>Изискване 9.1.2.4. от EN 301 549 V2.1.2 (2018-08)</w:t>
            </w:r>
            <w:r>
              <w:rPr>
                <w:rFonts w:ascii="Arial" w:hAnsi="Arial" w:cs="Arial"/>
                <w:color w:val="333333"/>
                <w:sz w:val="21"/>
                <w:szCs w:val="21"/>
              </w:rPr>
              <w:br/>
            </w:r>
            <w:r>
              <w:rPr>
                <w:rStyle w:val="Strong"/>
                <w:rFonts w:ascii="Arial" w:hAnsi="Arial" w:cs="Arial"/>
                <w:color w:val="333333"/>
                <w:sz w:val="21"/>
                <w:szCs w:val="21"/>
              </w:rPr>
              <w:t>Неприложимо</w:t>
            </w:r>
            <w:r>
              <w:rPr>
                <w:rFonts w:ascii="Arial" w:hAnsi="Arial" w:cs="Arial"/>
                <w:color w:val="333333"/>
                <w:sz w:val="21"/>
                <w:szCs w:val="21"/>
              </w:rPr>
              <w:br/>
              <w:t>Няма живо видео излъчване</w:t>
            </w:r>
          </w:p>
          <w:p w:rsidR="009F4849" w:rsidRPr="009F4849" w:rsidRDefault="009F4849" w:rsidP="009F4849"/>
        </w:tc>
      </w:tr>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t>Синхронизирано аудио представяне на видео съдържанието</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9F4849" w:rsidRPr="00F32486" w:rsidRDefault="00F32486" w:rsidP="009F4849">
            <w:pPr>
              <w:rPr>
                <w:rFonts w:ascii="Arial" w:hAnsi="Arial" w:cs="Arial"/>
                <w:color w:val="333333"/>
                <w:sz w:val="21"/>
                <w:szCs w:val="21"/>
              </w:rPr>
            </w:pPr>
            <w:r>
              <w:rPr>
                <w:rFonts w:ascii="Arial" w:hAnsi="Arial" w:cs="Arial"/>
                <w:color w:val="333333"/>
                <w:sz w:val="21"/>
                <w:szCs w:val="21"/>
              </w:rPr>
              <w:br/>
            </w:r>
            <w:r w:rsidRPr="00F32486">
              <w:rPr>
                <w:rFonts w:ascii="Arial" w:hAnsi="Arial" w:cs="Arial"/>
                <w:color w:val="333333"/>
                <w:sz w:val="21"/>
                <w:szCs w:val="21"/>
              </w:rPr>
              <w:t>Изискване 9.1.2.5. от EN 301 549 V2.1.2 (2018-08)</w:t>
            </w:r>
            <w:r w:rsidRPr="00F32486">
              <w:rPr>
                <w:rFonts w:ascii="Arial" w:hAnsi="Arial" w:cs="Arial"/>
                <w:color w:val="333333"/>
                <w:sz w:val="21"/>
                <w:szCs w:val="21"/>
              </w:rPr>
              <w:br/>
            </w:r>
            <w:r w:rsidRPr="00F32486">
              <w:rPr>
                <w:rFonts w:ascii="Arial" w:hAnsi="Arial" w:cs="Arial"/>
                <w:b/>
                <w:bCs/>
                <w:color w:val="333333"/>
                <w:sz w:val="21"/>
                <w:szCs w:val="21"/>
              </w:rPr>
              <w:t>Неприложимо</w:t>
            </w:r>
            <w:r w:rsidRPr="00F32486">
              <w:rPr>
                <w:rFonts w:ascii="Arial" w:hAnsi="Arial" w:cs="Arial"/>
                <w:color w:val="333333"/>
                <w:sz w:val="21"/>
                <w:szCs w:val="21"/>
              </w:rPr>
              <w:br/>
              <w:t xml:space="preserve">Наличните видеоклипове са записи от интервюта, поради което не е </w:t>
            </w:r>
            <w:proofErr w:type="spellStart"/>
            <w:r w:rsidRPr="00F32486">
              <w:rPr>
                <w:rFonts w:ascii="Arial" w:hAnsi="Arial" w:cs="Arial"/>
                <w:color w:val="333333"/>
                <w:sz w:val="21"/>
                <w:szCs w:val="21"/>
              </w:rPr>
              <w:t>необхо</w:t>
            </w:r>
            <w:proofErr w:type="spellEnd"/>
          </w:p>
        </w:tc>
      </w:tr>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t xml:space="preserve">Ако на уеб страницата има аудио, което се възпроизвежда автоматично за повече </w:t>
            </w:r>
            <w:r w:rsidRPr="00F32486">
              <w:lastRenderedPageBreak/>
              <w:t>от 3 секунди, е осигурен механизъм за пауза или спиране на възпроизвеждането, или е наличен механизъм за контрол на силата на звука независимо от общото ниво на силата на звука.</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rPr>
                <w:b/>
                <w:bCs/>
              </w:rPr>
              <w:lastRenderedPageBreak/>
              <w:t>Изискване 9.1.4.2. от EN 301 549 V2.1.2 (2018-08)</w:t>
            </w:r>
            <w:r w:rsidRPr="00F32486">
              <w:rPr>
                <w:b/>
                <w:bCs/>
              </w:rPr>
              <w:br/>
            </w:r>
            <w:r w:rsidRPr="00F32486">
              <w:rPr>
                <w:b/>
                <w:bCs/>
              </w:rPr>
              <w:lastRenderedPageBreak/>
              <w:t>Неприложимо</w:t>
            </w:r>
            <w:r w:rsidRPr="00F32486">
              <w:rPr>
                <w:b/>
                <w:bCs/>
              </w:rPr>
              <w:br/>
              <w:t>Няма аудио което се възпроизвежда като фон или се стартира автоматично</w:t>
            </w:r>
          </w:p>
        </w:tc>
      </w:tr>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lastRenderedPageBreak/>
              <w:t>Когато има заложени времеви ограничения, те могат да бъдат настройвани според нуждите на потребителя.</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rPr>
                <w:b/>
                <w:bCs/>
              </w:rPr>
              <w:t>Изискване 9.2.2.1. от EN 301 549 V2.1.2 (2018-08)</w:t>
            </w:r>
            <w:r w:rsidRPr="00F32486">
              <w:rPr>
                <w:b/>
                <w:bCs/>
              </w:rPr>
              <w:br/>
              <w:t>Неприложимо</w:t>
            </w:r>
            <w:r w:rsidRPr="00F32486">
              <w:rPr>
                <w:b/>
                <w:bCs/>
              </w:rPr>
              <w:br/>
              <w:t>Не са заложени времеви ограничения</w:t>
            </w:r>
          </w:p>
        </w:tc>
      </w:tr>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t>За всяка движеща се, мигаща или плъзгаща се информация, която (1) се стартира автоматично, (2) продължава повече от пет секунди и (3) се представя паралелно с друго съдържание, има механизъм, чрез който потребителят може да прекъсне, да спре или скрие информацията освен ако движението, мигането или плъзгането не са от съществено значение.</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rPr>
                <w:b/>
                <w:bCs/>
              </w:rPr>
              <w:t>Изискване 9.2.2.2.1. от EN 301 549 V2.1.2 (2018-08)</w:t>
            </w:r>
            <w:r w:rsidRPr="00F32486">
              <w:rPr>
                <w:b/>
                <w:bCs/>
              </w:rPr>
              <w:br/>
              <w:t>Неприложимо</w:t>
            </w:r>
            <w:r w:rsidRPr="00F32486">
              <w:rPr>
                <w:b/>
                <w:bCs/>
              </w:rPr>
              <w:br/>
              <w:t>Не се използват подвижни компоненти от потребителския интерфейс</w:t>
            </w:r>
          </w:p>
        </w:tc>
      </w:tr>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t>Цялата функционалност, която използва многоточков курсор или е базирана на пътя на курсора, може да се управлява с единичен курсор или да не бъде базирана на пътя на курсора, освен ако не е от съществено значение.</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F32486" w:rsidP="009F4849">
            <w:r w:rsidRPr="00F32486">
              <w:rPr>
                <w:b/>
                <w:bCs/>
              </w:rPr>
              <w:t>Изискване 9.2.5.1. от EN 301 549 V2.1.2 (2018-08)</w:t>
            </w:r>
            <w:r w:rsidRPr="00F32486">
              <w:rPr>
                <w:b/>
                <w:bCs/>
              </w:rPr>
              <w:br/>
              <w:t>Неприложимо</w:t>
            </w:r>
            <w:r w:rsidRPr="00F32486">
              <w:rPr>
                <w:b/>
                <w:bCs/>
              </w:rPr>
              <w:br/>
              <w:t>Не се използва многоточков курсор.</w:t>
            </w:r>
          </w:p>
        </w:tc>
      </w:tr>
      <w:tr w:rsidR="00F32486"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F32486" w:rsidRPr="00F32486" w:rsidRDefault="00F32486" w:rsidP="00F32486">
            <w:r w:rsidRPr="00F32486">
              <w:t>Езикът на всяка отделна част от съдържанието на страницата може да бъде програмно установен.</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F32486" w:rsidRPr="00F32486" w:rsidRDefault="00F32486" w:rsidP="00F32486">
            <w:r w:rsidRPr="00F32486">
              <w:t>Изискване 9.3.1.2. от EN 301 549 V2.1.2 (2018-08)</w:t>
            </w:r>
            <w:r w:rsidRPr="00F32486">
              <w:br/>
            </w:r>
            <w:r w:rsidRPr="00F32486">
              <w:rPr>
                <w:b/>
                <w:bCs/>
              </w:rPr>
              <w:t>Неприложимо</w:t>
            </w:r>
            <w:r w:rsidRPr="00F32486">
              <w:br/>
              <w:t>Няма страници със смесено съдържание на различни езици</w:t>
            </w:r>
          </w:p>
        </w:tc>
      </w:tr>
    </w:tbl>
    <w:p w:rsidR="009F4849" w:rsidRDefault="009F4849" w:rsidP="009F4849">
      <w:r w:rsidRPr="009F4849">
        <w:t> </w:t>
      </w:r>
    </w:p>
    <w:p w:rsidR="009F4849" w:rsidRPr="009F4849" w:rsidRDefault="009F4849" w:rsidP="009F4849">
      <w:r w:rsidRPr="009F4849">
        <w:rPr>
          <w:b/>
          <w:bCs/>
          <w:i/>
          <w:iCs/>
        </w:rPr>
        <w:t>Забележка:</w:t>
      </w:r>
      <w:r w:rsidRPr="009F4849">
        <w:t> </w:t>
      </w:r>
      <w:r w:rsidRPr="009F4849">
        <w:rPr>
          <w:i/>
          <w:iCs/>
        </w:rPr>
        <w:t>В таблицата са описани само онези изисквания на стандарта, които не са покрити, покрити са частично или са неприложими. Изцяло покритите изисквания на стандарта не се описват, съгласно изискванията за попълване на декларацията за съответствие.</w:t>
      </w:r>
    </w:p>
    <w:p w:rsidR="009F4849" w:rsidRPr="009F4849" w:rsidRDefault="009F4849" w:rsidP="009F4849">
      <w:r w:rsidRPr="009F4849">
        <w:t>Достъпни алтернативи за достъп до съдържанието:</w:t>
      </w:r>
    </w:p>
    <w:tbl>
      <w:tblPr>
        <w:tblW w:w="9348" w:type="dxa"/>
        <w:tblBorders>
          <w:top w:val="outset" w:sz="6" w:space="0" w:color="696969"/>
          <w:left w:val="outset" w:sz="6" w:space="0" w:color="696969"/>
          <w:bottom w:val="outset" w:sz="6" w:space="0" w:color="696969"/>
          <w:right w:val="outset" w:sz="6" w:space="0" w:color="696969"/>
        </w:tblBorders>
        <w:tblCellMar>
          <w:left w:w="0" w:type="dxa"/>
          <w:right w:w="0" w:type="dxa"/>
        </w:tblCellMar>
        <w:tblLook w:val="04A0" w:firstRow="1" w:lastRow="0" w:firstColumn="1" w:lastColumn="0" w:noHBand="0" w:noVBand="1"/>
      </w:tblPr>
      <w:tblGrid>
        <w:gridCol w:w="4387"/>
        <w:gridCol w:w="4961"/>
      </w:tblGrid>
      <w:tr w:rsidR="009F4849" w:rsidRPr="009F4849" w:rsidTr="009B6343">
        <w:tc>
          <w:tcPr>
            <w:tcW w:w="4387"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9F4849" w:rsidP="009F4849">
            <w:r w:rsidRPr="009F4849">
              <w:t xml:space="preserve">Предоставени са субтитри за цялото предварително записано аудио и/или видео съдържание в синхронизирани носители, с изключение на случаите, когато медията представлява </w:t>
            </w:r>
            <w:r w:rsidRPr="009F4849">
              <w:lastRenderedPageBreak/>
              <w:t>алтернативно представяне на текстово съдържание и това е ясно обозначено.</w:t>
            </w:r>
          </w:p>
        </w:tc>
        <w:tc>
          <w:tcPr>
            <w:tcW w:w="4961" w:type="dxa"/>
            <w:tcBorders>
              <w:top w:val="outset" w:sz="6" w:space="0" w:color="696969"/>
              <w:left w:val="outset" w:sz="6" w:space="0" w:color="696969"/>
              <w:bottom w:val="outset" w:sz="6" w:space="0" w:color="696969"/>
              <w:right w:val="outset" w:sz="6" w:space="0" w:color="696969"/>
            </w:tcBorders>
            <w:vAlign w:val="center"/>
            <w:hideMark/>
          </w:tcPr>
          <w:p w:rsidR="009F4849" w:rsidRPr="009F4849" w:rsidRDefault="009F4849" w:rsidP="009F4849">
            <w:r w:rsidRPr="009F4849">
              <w:lastRenderedPageBreak/>
              <w:t>Изискване 9.1.2.2. от EN 301 549 V2.1.2 (2018-08)</w:t>
            </w:r>
            <w:r w:rsidRPr="009F4849">
              <w:br/>
              <w:t>Публикуваното видео е придружено с пояснителен текст, както и с аудио покритие.   </w:t>
            </w:r>
            <w:r w:rsidRPr="009F4849">
              <w:br/>
              <w:t> </w:t>
            </w:r>
            <w:bookmarkStart w:id="0" w:name="_GoBack"/>
            <w:bookmarkEnd w:id="0"/>
          </w:p>
        </w:tc>
      </w:tr>
    </w:tbl>
    <w:p w:rsidR="009F4849" w:rsidRPr="009F4849" w:rsidRDefault="009F4849" w:rsidP="009F4849">
      <w:r w:rsidRPr="009F4849">
        <w:t> </w:t>
      </w:r>
    </w:p>
    <w:p w:rsidR="009B6343" w:rsidRDefault="009F4849" w:rsidP="006F0D77">
      <w:r w:rsidRPr="009F4849">
        <w:rPr>
          <w:b/>
          <w:bCs/>
        </w:rPr>
        <w:t>Дата на първоначално изготвяне на декларацията:</w:t>
      </w:r>
      <w:r w:rsidRPr="009F4849">
        <w:t> 20.11.2019 г.</w:t>
      </w:r>
      <w:r w:rsidRPr="009F4849">
        <w:br/>
      </w:r>
      <w:r w:rsidRPr="009F4849">
        <w:rPr>
          <w:b/>
          <w:bCs/>
        </w:rPr>
        <w:t>Дата на ежегодна актуализация (преразглеждане) на декларацията:</w:t>
      </w:r>
      <w:r w:rsidRPr="009F4849">
        <w:t>  30.08.2021 г. </w:t>
      </w:r>
      <w:r w:rsidRPr="009F4849">
        <w:br/>
      </w:r>
      <w:r w:rsidRPr="009F4849">
        <w:rPr>
          <w:b/>
          <w:bCs/>
        </w:rPr>
        <w:t xml:space="preserve">Дата на актуализация на декларацията след извършена оценка и съществено преработване на уебсайта: </w:t>
      </w:r>
      <w:r w:rsidRPr="006F0D77">
        <w:rPr>
          <w:bCs/>
        </w:rPr>
        <w:t>30.08.</w:t>
      </w:r>
      <w:r w:rsidRPr="006F0D77">
        <w:t>2021 г.</w:t>
      </w:r>
      <w:r w:rsidRPr="009F4849">
        <w:t> </w:t>
      </w:r>
    </w:p>
    <w:p w:rsidR="009B6343" w:rsidRDefault="009B6343" w:rsidP="006F0D77"/>
    <w:p w:rsidR="006F0D77" w:rsidRPr="009B6343" w:rsidRDefault="006F0D77" w:rsidP="006F0D77">
      <w:r w:rsidRPr="006F0D77">
        <w:rPr>
          <w:b/>
          <w:bCs/>
        </w:rPr>
        <w:t>Метод, използван за изготвяне на декларацията:</w:t>
      </w:r>
    </w:p>
    <w:p w:rsidR="006F0D77" w:rsidRPr="006F0D77" w:rsidRDefault="006F0D77" w:rsidP="006F0D77">
      <w:r w:rsidRPr="006F0D77">
        <w:t>самооценка, направена от лицето по чл. 1, ал. 1 или 2 от ЗЕУ, собственик на уебсайта/мобилното приложение</w:t>
      </w:r>
    </w:p>
    <w:p w:rsidR="006F0D77" w:rsidRDefault="009F4849" w:rsidP="009F4849">
      <w:r w:rsidRPr="009F4849">
        <w:rPr>
          <w:b/>
          <w:bCs/>
        </w:rPr>
        <w:t>Обратна информация и данни за контакт:</w:t>
      </w:r>
    </w:p>
    <w:p w:rsidR="009F4849" w:rsidRPr="009F4849" w:rsidRDefault="006F0D77" w:rsidP="009F4849">
      <w:r w:rsidRPr="009F4849">
        <w:rPr>
          <w:b/>
          <w:bCs/>
        </w:rPr>
        <w:t>Адрес</w:t>
      </w:r>
      <w:r w:rsidR="009F4849" w:rsidRPr="009F4849">
        <w:rPr>
          <w:b/>
          <w:bCs/>
        </w:rPr>
        <w:t xml:space="preserve"> за предоставяне на обратна информация и предложения относно достъпността на този уебсайт </w:t>
      </w:r>
      <w:r w:rsidR="009F4849" w:rsidRPr="009F4849">
        <w:br/>
        <w:t>За предоставяне на обратна информация и предложения относно достъпността на този уебсайт, можете да ползвате следния адрес: help@e-gov.bg </w:t>
      </w:r>
      <w:r w:rsidR="009F4849" w:rsidRPr="009F4849">
        <w:br/>
      </w:r>
      <w:r w:rsidR="009F4849" w:rsidRPr="009F4849">
        <w:rPr>
          <w:b/>
          <w:bCs/>
        </w:rPr>
        <w:t>Връзка към форма за заявление за обратна връзка</w:t>
      </w:r>
      <w:r w:rsidR="009F4849" w:rsidRPr="009F4849">
        <w:br/>
        <w:t>Под всяка една от страниците в сайта с изключение на заглавната има налична форма за обратна връзка.</w:t>
      </w:r>
    </w:p>
    <w:p w:rsidR="009F4849" w:rsidRPr="009B6343" w:rsidRDefault="009F4849" w:rsidP="009F4849">
      <w:pPr>
        <w:rPr>
          <w:b/>
        </w:rPr>
      </w:pPr>
      <w:r w:rsidRPr="006F0D77">
        <w:rPr>
          <w:b/>
        </w:rPr>
        <w:t>Процедура по прилагане</w:t>
      </w:r>
      <w:r w:rsidRPr="009F4849">
        <w:br/>
        <w:t>1.    На основание чл. 58г, ал. 1 от ЗЕУ и съобразно утвърдени вътрешни правила в ДАЕУ, е определена следната процедура за разглеждане н</w:t>
      </w:r>
      <w:r w:rsidR="006F0D77">
        <w:t>а сигнали:</w:t>
      </w:r>
      <w:r w:rsidR="006F0D77">
        <w:br/>
        <w:t> </w:t>
      </w:r>
      <w:r w:rsidR="006F0D77">
        <w:br/>
        <w:t>Сигнали</w:t>
      </w:r>
      <w:r w:rsidRPr="009F4849">
        <w:t xml:space="preserve"> подават</w:t>
      </w:r>
      <w:r w:rsidR="006F0D77">
        <w:t xml:space="preserve"> се</w:t>
      </w:r>
      <w:r w:rsidRPr="009F4849">
        <w:t xml:space="preserve"> по следния начин:</w:t>
      </w:r>
    </w:p>
    <w:p w:rsidR="009F4849" w:rsidRPr="009F4849" w:rsidRDefault="009F4849" w:rsidP="009F4849">
      <w:r w:rsidRPr="009F4849">
        <w:t xml:space="preserve">- Чрез формата за обратна връзка на всяка от страниците в сайта на </w:t>
      </w:r>
      <w:r w:rsidR="006F0D77">
        <w:t>МЕУ</w:t>
      </w:r>
      <w:r w:rsidRPr="009F4849">
        <w:t>; </w:t>
      </w:r>
    </w:p>
    <w:p w:rsidR="009F4849" w:rsidRPr="009F4849" w:rsidRDefault="009F4849" w:rsidP="009F4849">
      <w:r w:rsidRPr="009F4849">
        <w:t xml:space="preserve">- По електронен път, на всички официални електронни адреси, публикувани в сайта на </w:t>
      </w:r>
      <w:r w:rsidR="006F0D77">
        <w:t>МЕУ</w:t>
      </w:r>
      <w:r w:rsidRPr="009F4849">
        <w:t> </w:t>
      </w:r>
      <w:hyperlink r:id="rId4" w:history="1">
        <w:r w:rsidRPr="009F4849">
          <w:rPr>
            <w:rStyle w:val="Hyperlink"/>
          </w:rPr>
          <w:t>https://e-gov.bg/wps/portal/agency/about-us/contacts</w:t>
        </w:r>
      </w:hyperlink>
      <w:r w:rsidRPr="009F4849">
        <w:t>, както и на  електронния адрес на Помощния контактен център: help@e-gov.bg;</w:t>
      </w:r>
    </w:p>
    <w:p w:rsidR="009F4849" w:rsidRPr="009F4849" w:rsidRDefault="009F4849" w:rsidP="009F4849">
      <w:r w:rsidRPr="009F4849">
        <w:t>- На телефон 0700 20 341. На цената на градски разговор от цялата страна или по тарифата на съответния мобилен оператор. Сигнали се приемат от понеделник до петък от 9.00 до 17.30 ч.;</w:t>
      </w:r>
    </w:p>
    <w:p w:rsidR="009F4849" w:rsidRPr="009F4849" w:rsidRDefault="009F4849" w:rsidP="009F4849">
      <w:r w:rsidRPr="009F4849">
        <w:t xml:space="preserve">- По пощата – на адрес: 1000 София, </w:t>
      </w:r>
      <w:proofErr w:type="spellStart"/>
      <w:r w:rsidRPr="009F4849">
        <w:t>ул</w:t>
      </w:r>
      <w:proofErr w:type="spellEnd"/>
      <w:r w:rsidRPr="009F4849">
        <w:t>."Генерал Гурко“ 6;</w:t>
      </w:r>
    </w:p>
    <w:p w:rsidR="009B6343" w:rsidRDefault="009F4849" w:rsidP="009B6343">
      <w:r w:rsidRPr="009F4849">
        <w:t xml:space="preserve">- В деловодството на </w:t>
      </w:r>
      <w:proofErr w:type="spellStart"/>
      <w:r w:rsidR="006F0D77">
        <w:t>МЕУ</w:t>
      </w:r>
      <w:r w:rsidRPr="009F4849">
        <w:t>на</w:t>
      </w:r>
      <w:proofErr w:type="spellEnd"/>
      <w:r w:rsidRPr="009F4849">
        <w:t xml:space="preserve"> хартиен носител.</w:t>
      </w:r>
    </w:p>
    <w:p w:rsidR="009B6343" w:rsidRDefault="009F4849" w:rsidP="009B6343">
      <w:r w:rsidRPr="009B6343">
        <w:rPr>
          <w:sz w:val="12"/>
          <w:szCs w:val="12"/>
        </w:rPr>
        <w:br/>
      </w:r>
      <w:r w:rsidRPr="009F4849">
        <w:t>Сигналът се разглежда в срок до един месец от постъпването му, като в същия срок се подготвя и отговорът, който съдържа описание на предприетите действия и мерки за отстраняване на нарушението на достъпността и срокът, в който посочените нарушения за достъпност ще бъдат отстранени, или мотивиран отказ, в случаите когато искането е прието за неоснователно и незаконосъобразно.</w:t>
      </w:r>
    </w:p>
    <w:p w:rsidR="009F4849" w:rsidRPr="009F4849" w:rsidRDefault="009F4849" w:rsidP="009B6343">
      <w:pPr>
        <w:spacing w:before="160"/>
      </w:pPr>
      <w:r w:rsidRPr="009F4849">
        <w:lastRenderedPageBreak/>
        <w:t>Когато подалият сигнала е посочил електронна поща, отговорът се изпраща, подписан с удостоверение за квалифициран електронен подпис, а в останалите случаи – на хартиен носител, на посочения в сигнала адрес. Когато е посочен неверен или несъществуващ адрес, информацията се смята за получена от датата на изпращането ѝ.</w:t>
      </w:r>
    </w:p>
    <w:p w:rsidR="009F4849" w:rsidRPr="009F4849" w:rsidRDefault="009F4849" w:rsidP="009F4849">
      <w:r w:rsidRPr="009F4849">
        <w:t>2.    Подателят на сигнала може да подаде жалба по реда на чл. 58г, ал. 2 от ЗЕУ до председателя на Държавна агенция "Електронно управление", ако лицето по чл. 1, ал. 1 или 2 от ЗЕУ: </w:t>
      </w:r>
      <w:r w:rsidRPr="009F4849">
        <w:br/>
        <w:t>2.1 не отговори на сигнала в срока, посочен в настоящата декларация за достъпност; </w:t>
      </w:r>
      <w:r w:rsidRPr="009F4849">
        <w:br/>
        <w:t>2.2 не предприеме мерките за отстраняване на нарушението на достъпността, посочени в отговора на сигнала.</w:t>
      </w:r>
    </w:p>
    <w:p w:rsidR="009B6343" w:rsidRDefault="009F4849" w:rsidP="009B6343">
      <w:r w:rsidRPr="009F4849">
        <w:t>Жалба се подава по един от следните начини: </w:t>
      </w:r>
      <w:r w:rsidRPr="009F4849">
        <w:br/>
        <w:t xml:space="preserve">- в деловодството на </w:t>
      </w:r>
      <w:r w:rsidR="006F0D77">
        <w:t>МЕУ</w:t>
      </w:r>
      <w:r w:rsidRPr="009F4849">
        <w:t xml:space="preserve"> на адрес: ул. „Ген. Йосиф В. Гурко" 6, София 1000; </w:t>
      </w:r>
      <w:r w:rsidRPr="009F4849">
        <w:br/>
        <w:t>- по електронен път на  (с посочване на тема: „Жалба относно нарушението на достъпността на интернет страници“);</w:t>
      </w:r>
      <w:r w:rsidRPr="009F4849">
        <w:br/>
        <w:t xml:space="preserve">- чрез пощенска услуга на хартиен носител на адреса на </w:t>
      </w:r>
      <w:r w:rsidR="006F0D77">
        <w:t>МЕУ</w:t>
      </w:r>
      <w:r w:rsidRPr="009F4849">
        <w:t>, ул. „Ген. Йосиф В. Гурко“ №6, София 1000.</w:t>
      </w:r>
    </w:p>
    <w:p w:rsidR="009F4849" w:rsidRPr="009F4849" w:rsidRDefault="009F4849" w:rsidP="009B6343">
      <w:r w:rsidRPr="009B6343">
        <w:rPr>
          <w:sz w:val="12"/>
          <w:szCs w:val="12"/>
        </w:rPr>
        <w:br/>
      </w:r>
      <w:r w:rsidRPr="009F4849">
        <w:t xml:space="preserve">3.    Съгласно чл. 60а от ЗЕУ, контролът върху съответствието на съдържанието на интернет страниците и мобилните приложения с изискванията за достъпност по чл. 58в от ЗЕУ, се осъществява </w:t>
      </w:r>
      <w:r w:rsidR="006F0D77">
        <w:t>министъра на електронното управление</w:t>
      </w:r>
      <w:r w:rsidRPr="009F4849">
        <w:t>.</w:t>
      </w:r>
    </w:p>
    <w:p w:rsidR="009F4849" w:rsidRPr="009F4849" w:rsidRDefault="009F4849" w:rsidP="006F0D77">
      <w:pPr>
        <w:jc w:val="both"/>
      </w:pPr>
      <w:r w:rsidRPr="009F4849">
        <w:t>Раздел 2 Препоръчително съдържание </w:t>
      </w:r>
    </w:p>
    <w:p w:rsidR="006F0D77" w:rsidRPr="006F0D77" w:rsidRDefault="006F0D77" w:rsidP="006F0D77">
      <w:pPr>
        <w:jc w:val="both"/>
      </w:pPr>
      <w:r w:rsidRPr="006F0D77">
        <w:t>Министерство</w:t>
      </w:r>
      <w:r>
        <w:t>то на електронното управление</w:t>
      </w:r>
      <w:r w:rsidRPr="006F0D77">
        <w:t xml:space="preserve">, макар да се стреми да осигури съвместимост с наличните стандарти за достъпност, това не винаги е възможно във всеки един аспект. Ако срещате затруднения докато работите с </w:t>
      </w:r>
      <w:r w:rsidRPr="006F0D77">
        <w:rPr>
          <w:u w:val="single"/>
        </w:rPr>
        <w:t>https://egov.bg/wps/portal/egov/nachalo</w:t>
      </w:r>
      <w:r w:rsidRPr="006F0D77">
        <w:t xml:space="preserve"> или част от съдържанието не е достъпно за Вас, моля свържете се с нас и опишете проблема – това ще ни помогне да поддържаме сайта във възможно най-добро състояние и подобряваме достъпността му непрекъснато.</w:t>
      </w:r>
    </w:p>
    <w:p w:rsidR="006F0D77" w:rsidRPr="006F0D77" w:rsidRDefault="006F0D77" w:rsidP="006F0D77">
      <w:pPr>
        <w:jc w:val="both"/>
      </w:pPr>
      <w:r w:rsidRPr="006F0D77">
        <w:t>Министерство</w:t>
      </w:r>
      <w:r>
        <w:t>то на електронното управление</w:t>
      </w:r>
      <w:r w:rsidRPr="006F0D77">
        <w:t xml:space="preserve"> се ангажира да осигури по-висока степен на достъпност, да отстранява констатираните несъответствия в изискванията за достъпност на интернет страницата си и да осигурява постоянно високо ниво на достъпност на публикуваната информация.</w:t>
      </w:r>
    </w:p>
    <w:p w:rsidR="006F0D77" w:rsidRDefault="009F4849" w:rsidP="009F4849">
      <w:r w:rsidRPr="009F4849">
        <w:br/>
      </w:r>
    </w:p>
    <w:p w:rsidR="006F0D77" w:rsidRDefault="006F0D77" w:rsidP="009F4849"/>
    <w:p w:rsidR="006F0D77" w:rsidRDefault="006F0D77" w:rsidP="009F4849"/>
    <w:p w:rsidR="009F4849" w:rsidRPr="009F4849" w:rsidRDefault="009F4849" w:rsidP="006F0D77">
      <w:r w:rsidRPr="009F4849">
        <w:t> </w:t>
      </w:r>
    </w:p>
    <w:p w:rsidR="009F4849" w:rsidRPr="009F4849" w:rsidRDefault="009F4849" w:rsidP="009F4849">
      <w:r w:rsidRPr="009F4849">
        <w:t> </w:t>
      </w:r>
    </w:p>
    <w:p w:rsidR="00D61B08" w:rsidRDefault="00D61B08"/>
    <w:sectPr w:rsidR="00D61B08" w:rsidSect="009B6343">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07"/>
    <w:rsid w:val="000B12D2"/>
    <w:rsid w:val="003921A6"/>
    <w:rsid w:val="005E5107"/>
    <w:rsid w:val="006F0D77"/>
    <w:rsid w:val="009B6343"/>
    <w:rsid w:val="009F4849"/>
    <w:rsid w:val="00CB0363"/>
    <w:rsid w:val="00D61B08"/>
    <w:rsid w:val="00F324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CF52D-1C72-40A1-88E9-F182E0E0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849"/>
    <w:rPr>
      <w:color w:val="0563C1" w:themeColor="hyperlink"/>
      <w:u w:val="single"/>
    </w:rPr>
  </w:style>
  <w:style w:type="character" w:styleId="Strong">
    <w:name w:val="Strong"/>
    <w:basedOn w:val="DefaultParagraphFont"/>
    <w:uiPriority w:val="22"/>
    <w:qFormat/>
    <w:rsid w:val="00F32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4663">
      <w:bodyDiv w:val="1"/>
      <w:marLeft w:val="0"/>
      <w:marRight w:val="0"/>
      <w:marTop w:val="0"/>
      <w:marBottom w:val="0"/>
      <w:divBdr>
        <w:top w:val="none" w:sz="0" w:space="0" w:color="auto"/>
        <w:left w:val="none" w:sz="0" w:space="0" w:color="auto"/>
        <w:bottom w:val="none" w:sz="0" w:space="0" w:color="auto"/>
        <w:right w:val="none" w:sz="0" w:space="0" w:color="auto"/>
      </w:divBdr>
    </w:div>
    <w:div w:id="609050684">
      <w:bodyDiv w:val="1"/>
      <w:marLeft w:val="0"/>
      <w:marRight w:val="0"/>
      <w:marTop w:val="0"/>
      <w:marBottom w:val="0"/>
      <w:divBdr>
        <w:top w:val="none" w:sz="0" w:space="0" w:color="auto"/>
        <w:left w:val="none" w:sz="0" w:space="0" w:color="auto"/>
        <w:bottom w:val="none" w:sz="0" w:space="0" w:color="auto"/>
        <w:right w:val="none" w:sz="0" w:space="0" w:color="auto"/>
      </w:divBdr>
    </w:div>
    <w:div w:id="653342539">
      <w:bodyDiv w:val="1"/>
      <w:marLeft w:val="0"/>
      <w:marRight w:val="0"/>
      <w:marTop w:val="0"/>
      <w:marBottom w:val="0"/>
      <w:divBdr>
        <w:top w:val="none" w:sz="0" w:space="0" w:color="auto"/>
        <w:left w:val="none" w:sz="0" w:space="0" w:color="auto"/>
        <w:bottom w:val="none" w:sz="0" w:space="0" w:color="auto"/>
        <w:right w:val="none" w:sz="0" w:space="0" w:color="auto"/>
      </w:divBdr>
    </w:div>
    <w:div w:id="924218247">
      <w:bodyDiv w:val="1"/>
      <w:marLeft w:val="0"/>
      <w:marRight w:val="0"/>
      <w:marTop w:val="0"/>
      <w:marBottom w:val="0"/>
      <w:divBdr>
        <w:top w:val="none" w:sz="0" w:space="0" w:color="auto"/>
        <w:left w:val="none" w:sz="0" w:space="0" w:color="auto"/>
        <w:bottom w:val="none" w:sz="0" w:space="0" w:color="auto"/>
        <w:right w:val="none" w:sz="0" w:space="0" w:color="auto"/>
      </w:divBdr>
      <w:divsChild>
        <w:div w:id="1241059957">
          <w:marLeft w:val="0"/>
          <w:marRight w:val="0"/>
          <w:marTop w:val="375"/>
          <w:marBottom w:val="180"/>
          <w:divBdr>
            <w:top w:val="none" w:sz="0" w:space="0" w:color="auto"/>
            <w:left w:val="none" w:sz="0" w:space="0" w:color="auto"/>
            <w:bottom w:val="none" w:sz="0" w:space="0" w:color="auto"/>
            <w:right w:val="none" w:sz="0" w:space="0" w:color="auto"/>
          </w:divBdr>
        </w:div>
      </w:divsChild>
    </w:div>
    <w:div w:id="1081948064">
      <w:bodyDiv w:val="1"/>
      <w:marLeft w:val="0"/>
      <w:marRight w:val="0"/>
      <w:marTop w:val="0"/>
      <w:marBottom w:val="0"/>
      <w:divBdr>
        <w:top w:val="none" w:sz="0" w:space="0" w:color="auto"/>
        <w:left w:val="none" w:sz="0" w:space="0" w:color="auto"/>
        <w:bottom w:val="none" w:sz="0" w:space="0" w:color="auto"/>
        <w:right w:val="none" w:sz="0" w:space="0" w:color="auto"/>
      </w:divBdr>
    </w:div>
    <w:div w:id="1105153322">
      <w:bodyDiv w:val="1"/>
      <w:marLeft w:val="0"/>
      <w:marRight w:val="0"/>
      <w:marTop w:val="0"/>
      <w:marBottom w:val="0"/>
      <w:divBdr>
        <w:top w:val="none" w:sz="0" w:space="0" w:color="auto"/>
        <w:left w:val="none" w:sz="0" w:space="0" w:color="auto"/>
        <w:bottom w:val="none" w:sz="0" w:space="0" w:color="auto"/>
        <w:right w:val="none" w:sz="0" w:space="0" w:color="auto"/>
      </w:divBdr>
    </w:div>
    <w:div w:id="1345937745">
      <w:bodyDiv w:val="1"/>
      <w:marLeft w:val="0"/>
      <w:marRight w:val="0"/>
      <w:marTop w:val="0"/>
      <w:marBottom w:val="0"/>
      <w:divBdr>
        <w:top w:val="none" w:sz="0" w:space="0" w:color="auto"/>
        <w:left w:val="none" w:sz="0" w:space="0" w:color="auto"/>
        <w:bottom w:val="none" w:sz="0" w:space="0" w:color="auto"/>
        <w:right w:val="none" w:sz="0" w:space="0" w:color="auto"/>
      </w:divBdr>
    </w:div>
    <w:div w:id="1932002932">
      <w:bodyDiv w:val="1"/>
      <w:marLeft w:val="0"/>
      <w:marRight w:val="0"/>
      <w:marTop w:val="0"/>
      <w:marBottom w:val="0"/>
      <w:divBdr>
        <w:top w:val="none" w:sz="0" w:space="0" w:color="auto"/>
        <w:left w:val="none" w:sz="0" w:space="0" w:color="auto"/>
        <w:bottom w:val="none" w:sz="0" w:space="0" w:color="auto"/>
        <w:right w:val="none" w:sz="0" w:space="0" w:color="auto"/>
      </w:divBdr>
    </w:div>
    <w:div w:id="19645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ov.bg/wps/portal/agency/about-us/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Mircheska</dc:creator>
  <cp:keywords/>
  <dc:description/>
  <cp:lastModifiedBy>Nedyalka V. Ivanova</cp:lastModifiedBy>
  <cp:revision>3</cp:revision>
  <dcterms:created xsi:type="dcterms:W3CDTF">2022-08-26T10:45:00Z</dcterms:created>
  <dcterms:modified xsi:type="dcterms:W3CDTF">2022-08-26T10:50:00Z</dcterms:modified>
</cp:coreProperties>
</file>